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69" w:rsidRPr="00A96869" w:rsidRDefault="00A96869" w:rsidP="00A96869">
      <w:pPr>
        <w:spacing w:after="0" w:line="288" w:lineRule="auto"/>
        <w:jc w:val="center"/>
        <w:outlineLvl w:val="0"/>
        <w:rPr>
          <w:rFonts w:eastAsia="Times New Roman" w:cs="Times New Roman"/>
          <w:b/>
          <w:bCs/>
          <w:kern w:val="36"/>
          <w:sz w:val="36"/>
          <w:szCs w:val="36"/>
          <w:u w:val="single"/>
        </w:rPr>
      </w:pPr>
      <w:r w:rsidRPr="00A96869">
        <w:rPr>
          <w:rFonts w:eastAsia="Times New Roman" w:cs="Times New Roman"/>
          <w:b/>
          <w:bCs/>
          <w:kern w:val="36"/>
          <w:sz w:val="36"/>
          <w:szCs w:val="36"/>
          <w:u w:val="single"/>
        </w:rPr>
        <w:t>Điều kiện chuyển nhượng quyền sử dụng đất mới nhất</w:t>
      </w:r>
    </w:p>
    <w:p w:rsidR="00A96869" w:rsidRPr="00A96869" w:rsidRDefault="00A96869" w:rsidP="00A96869">
      <w:pPr>
        <w:spacing w:after="0" w:line="288" w:lineRule="auto"/>
        <w:jc w:val="center"/>
        <w:outlineLvl w:val="0"/>
        <w:rPr>
          <w:rFonts w:eastAsia="Times New Roman" w:cs="Times New Roman"/>
          <w:b/>
          <w:bCs/>
          <w:kern w:val="36"/>
          <w:szCs w:val="28"/>
        </w:rPr>
      </w:pP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1. Điều kiện chuyển nhượng quyền sử dụng đất</w:t>
      </w:r>
    </w:p>
    <w:p w:rsidR="00A96869" w:rsidRPr="00A96869" w:rsidRDefault="00A96869" w:rsidP="00A96869">
      <w:pPr>
        <w:spacing w:after="0" w:line="288" w:lineRule="auto"/>
        <w:ind w:firstLine="720"/>
        <w:jc w:val="both"/>
        <w:rPr>
          <w:rFonts w:eastAsia="Times New Roman" w:cs="Times New Roman"/>
          <w:color w:val="222222"/>
          <w:szCs w:val="28"/>
        </w:rPr>
      </w:pPr>
      <w:r w:rsidRPr="00A96869">
        <w:rPr>
          <w:rFonts w:eastAsia="Times New Roman" w:cs="Times New Roman"/>
          <w:color w:val="222222"/>
          <w:szCs w:val="28"/>
        </w:rPr>
        <w:t>Theo khoản 12 Điều 3 </w:t>
      </w:r>
      <w:hyperlink r:id="rId6" w:history="1">
        <w:r w:rsidRPr="00A96869">
          <w:rPr>
            <w:rFonts w:eastAsia="Times New Roman" w:cs="Times New Roman"/>
            <w:color w:val="A67942"/>
            <w:szCs w:val="28"/>
            <w:u w:val="single"/>
          </w:rPr>
          <w:t>Luật Đất đai 2024</w:t>
        </w:r>
      </w:hyperlink>
      <w:r w:rsidRPr="00A96869">
        <w:rPr>
          <w:rFonts w:eastAsia="Times New Roman" w:cs="Times New Roman"/>
          <w:color w:val="222222"/>
          <w:szCs w:val="28"/>
        </w:rPr>
        <w:t>, chuyển quyền sử dụng đất là việc chuyển giao quyền sử dụng đất từ người này sang người khác thông qua hình thức chuyển đổi, chuyển nhượng, thừa kế, tặng cho quyền sử dụng đất, góp vốn bằng quyền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Trong hầu hết các trường hợp, người sử dụng đất được thực hiện quyền chuyển nhượng quyền sử dụng đất khi có đủ 05 điều kiện quy định tại khoản 1 Điều 45 sau đây:</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 (1) </w:t>
      </w:r>
      <w:r w:rsidRPr="00A96869">
        <w:rPr>
          <w:rFonts w:eastAsia="Times New Roman" w:cs="Times New Roman"/>
          <w:color w:val="222222"/>
          <w:szCs w:val="28"/>
        </w:rPr>
        <w:t>-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Thừa kế quyền sử dụng đất, chuyển đổi đất nông nghiệp khi dồn điền, đổi thửa, tặng cho quyền sử dụng đất cho Nhà nước, cộng đồng dân cư;</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Tổ chức kinh tế có vốn đầu tư nước ngoài nhận chuyển nhượng dự án bất động sản theo quy định của pháp luật về kinh doanh bất động sản.</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Nhà nước có chính sách khuyến khích việc thỏa thuận về nhận quyền sử dụng đất để thực hiện dự án phát triển kinh tế - xã hội đối với hộ gia đình, cá nhân sử dụng đất chưa được cấp Giấy chứng nhận quyền sử dụng đất, Giấy chứng nhận quyền sở hữu nhà ở và quyền sử dụng đất ở…. nhưng đủ điều kiện cấp Giấy chứng nhận quyền sử dụng đất, quyền sở hữu tài sản gắn liền với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(2)</w:t>
      </w:r>
      <w:r w:rsidRPr="00A96869">
        <w:rPr>
          <w:rFonts w:eastAsia="Times New Roman" w:cs="Times New Roman"/>
          <w:color w:val="222222"/>
          <w:szCs w:val="28"/>
        </w:rPr>
        <w:t> - Đất không có tranh chấp hoặc tranh chấp đã được giải quyết bởi cơ quan nhà nước có thẩm quyền, bản án, quyết định của Tòa án, quyết định hoặc phán quyết của Trọng tài đã có hiệu lực pháp luật;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(3)</w:t>
      </w:r>
      <w:r w:rsidRPr="00A96869">
        <w:rPr>
          <w:rFonts w:eastAsia="Times New Roman" w:cs="Times New Roman"/>
          <w:color w:val="222222"/>
          <w:szCs w:val="28"/>
        </w:rPr>
        <w:t> - Quyền sử dụng đất không bị kê biên, áp dụng biện pháp khác để bảo đảm thi hành án theo quy định của pháp luật thi hành án dân sự;</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(4)</w:t>
      </w:r>
      <w:r w:rsidRPr="00A96869">
        <w:rPr>
          <w:rFonts w:eastAsia="Times New Roman" w:cs="Times New Roman"/>
          <w:color w:val="222222"/>
          <w:szCs w:val="28"/>
        </w:rPr>
        <w:t> - Trong thời hạn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(5) </w:t>
      </w:r>
      <w:r w:rsidRPr="00A96869">
        <w:rPr>
          <w:rFonts w:eastAsia="Times New Roman" w:cs="Times New Roman"/>
          <w:color w:val="222222"/>
          <w:szCs w:val="28"/>
        </w:rPr>
        <w:t>- Quyền sử dụng đất không bị áp dụng biện pháp khẩn cấp tạm thời theo quy định của pháp luật.</w:t>
      </w: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2. Lưu ý về điều kiện chuyển nhượng quyền sử dụng đất</w:t>
      </w:r>
    </w:p>
    <w:p w:rsidR="00A96869" w:rsidRPr="00A96869" w:rsidRDefault="00A96869" w:rsidP="00A96869">
      <w:pPr>
        <w:spacing w:after="0" w:line="288" w:lineRule="auto"/>
        <w:ind w:firstLine="720"/>
        <w:jc w:val="both"/>
        <w:rPr>
          <w:rFonts w:eastAsia="Times New Roman" w:cs="Times New Roman"/>
          <w:color w:val="222222"/>
          <w:szCs w:val="28"/>
        </w:rPr>
      </w:pPr>
      <w:r w:rsidRPr="00A96869">
        <w:rPr>
          <w:rFonts w:eastAsia="Times New Roman" w:cs="Times New Roman"/>
          <w:color w:val="222222"/>
          <w:szCs w:val="28"/>
        </w:rPr>
        <w:lastRenderedPageBreak/>
        <w:t>Căn cứ khoản 2, 3, 4, 5, 6, 7 Điều 45 Luật Đất đai, ngoài các điều kiện chung nêu trên, việc chuyển nhượng quyền sử dụng đất trong một số trường hợp đặc biệt còn phải đáp ứng thêm một số điều kiện khác:</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chủ đầu tư chuyển nhượng quyền sử dụng đất đã có hạ tầng kỹ thuật trong dự án bất động sản:</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Ngoài các điều kiện chung nên trên còn phải đáp ứng điều kiện khác theo quy định của </w:t>
      </w:r>
      <w:hyperlink r:id="rId7" w:history="1">
        <w:r w:rsidRPr="00A96869">
          <w:rPr>
            <w:rFonts w:eastAsia="Times New Roman" w:cs="Times New Roman"/>
            <w:color w:val="A67942"/>
            <w:szCs w:val="28"/>
            <w:u w:val="single"/>
          </w:rPr>
          <w:t>Luật Kinh doanh bất động sản</w:t>
        </w:r>
      </w:hyperlink>
      <w:r w:rsidRPr="00A96869">
        <w:rPr>
          <w:rFonts w:eastAsia="Times New Roman" w:cs="Times New Roman"/>
          <w:color w:val="222222"/>
          <w:szCs w:val="28"/>
        </w:rPr>
        <w:t>, </w:t>
      </w:r>
      <w:hyperlink r:id="rId8" w:history="1">
        <w:r w:rsidRPr="00A96869">
          <w:rPr>
            <w:rFonts w:eastAsia="Times New Roman" w:cs="Times New Roman"/>
            <w:color w:val="A67942"/>
            <w:szCs w:val="28"/>
            <w:u w:val="single"/>
          </w:rPr>
          <w:t>Luật Nhà ở</w:t>
        </w:r>
      </w:hyperlink>
      <w:r w:rsidRPr="00A96869">
        <w:rPr>
          <w:rFonts w:eastAsia="Times New Roman" w:cs="Times New Roman"/>
          <w:color w:val="222222"/>
          <w:szCs w:val="28"/>
        </w:rPr>
        <w: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Người sử dụng đất khi thực hiện quyền chuyển nhượng thì ngoài các điều kiện chung nêu trên còn phải đáp ứng các điều kiện theo các trường hợp sau đây:</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mua, bán tài sản gắn liền với đất, quyền thuê trong hợp đồng thuê đất được Nhà nước cho thuê thu tiền thuê đất hằng năm thì phải đáp ứng điều kiện quy định tại Điều 46 của Luật này;</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chuyển đổi quyền sử dụng đất nông nghiệp thì phải đáp ứng điều kiện quy định tại Điều 47 của Luật Đất đai;</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thực hiện quyền sử dụng đất của cá nhân là người dân tộc thiểu số được giao đất, cho thuê đất theo quy định tại khoản 3 Điều 16 của Luật này thì phải đáp ứng điều kiện quy định tại Điều 48 của Luật Đất đai.</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nhận thừa kế quyền sử dụng đất thì người nhận thừa kế được thực hiện quyền khi có:</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Giấy chứng nhận quyền sử dụng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sở hữu nhà ở và quyền sử dụng đất ở</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sử dụng đất, quyền sở hữu nhà ở và tài sản khác gắn liền với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sử dụng đất, quyền sở hữu tài sản gắn liền với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đủ điều kiện để cấp Giấy chứng nhận quyền sử dụng đất, quyền sở hữu tài sản gắn liền với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lastRenderedPageBreak/>
        <w:t>Địa điểm, diện tích, mục đích sử dụng đất;</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Kế hoạch sản xuất, kinh doanh nông nghiệp;</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Vốn đầu tư;</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Thời hạn sử dụng đất;</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Tiến độ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Cá nhân không trực tiếp sản xuất nông nghiệp nhận chuyển nhượng, nhận tặng cho quyền sử dụng đất trồng lúa quá hạn mức thì phải thành lập tổ chức kinh tế và có phương án sử dụng đất trồng lúa và được Ủy ban nhân dân cấp huyện phê duyệt, trừ trường hợp người nhận tặng cho là người thuộc hàng thừa kế.</w:t>
      </w: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3. Các trường hợp không được nhận chuyển nhượng đất</w:t>
      </w:r>
    </w:p>
    <w:p w:rsidR="00A96869" w:rsidRPr="00A96869" w:rsidRDefault="00A96869" w:rsidP="00A96869">
      <w:pPr>
        <w:spacing w:after="0" w:line="288" w:lineRule="auto"/>
        <w:ind w:firstLine="720"/>
        <w:jc w:val="both"/>
        <w:rPr>
          <w:rFonts w:eastAsia="Times New Roman" w:cs="Times New Roman"/>
          <w:color w:val="222222"/>
          <w:szCs w:val="28"/>
        </w:rPr>
      </w:pPr>
      <w:bookmarkStart w:id="0" w:name="_GoBack"/>
      <w:bookmarkEnd w:id="0"/>
      <w:r w:rsidRPr="00A96869">
        <w:rPr>
          <w:rFonts w:eastAsia="Times New Roman" w:cs="Times New Roman"/>
          <w:color w:val="222222"/>
          <w:szCs w:val="28"/>
        </w:rPr>
        <w:t>Các trường hợp không được nhận chuyển nhượng đất quy định tại khoản 8 Điều 45 Luật Đất đai 2024 bao gồm:</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rsidR="00603CCB" w:rsidRPr="00A96869" w:rsidRDefault="00603CCB" w:rsidP="00A96869">
      <w:pPr>
        <w:spacing w:after="0" w:line="288" w:lineRule="auto"/>
        <w:jc w:val="both"/>
        <w:rPr>
          <w:rFonts w:cs="Times New Roman"/>
          <w:szCs w:val="28"/>
        </w:rPr>
      </w:pPr>
    </w:p>
    <w:sectPr w:rsidR="00603CCB" w:rsidRPr="00A96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239"/>
    <w:multiLevelType w:val="multilevel"/>
    <w:tmpl w:val="207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255EB"/>
    <w:multiLevelType w:val="multilevel"/>
    <w:tmpl w:val="CAD6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447E5"/>
    <w:multiLevelType w:val="multilevel"/>
    <w:tmpl w:val="C21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12B92"/>
    <w:multiLevelType w:val="multilevel"/>
    <w:tmpl w:val="7E0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CF5EA6"/>
    <w:multiLevelType w:val="multilevel"/>
    <w:tmpl w:val="82E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69"/>
    <w:rsid w:val="00603CCB"/>
    <w:rsid w:val="00A9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86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686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6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6869"/>
    <w:rPr>
      <w:rFonts w:eastAsia="Times New Roman" w:cs="Times New Roman"/>
      <w:b/>
      <w:bCs/>
      <w:sz w:val="36"/>
      <w:szCs w:val="36"/>
    </w:rPr>
  </w:style>
  <w:style w:type="character" w:styleId="Hyperlink">
    <w:name w:val="Hyperlink"/>
    <w:basedOn w:val="DefaultParagraphFont"/>
    <w:uiPriority w:val="99"/>
    <w:semiHidden/>
    <w:unhideWhenUsed/>
    <w:rsid w:val="00A96869"/>
    <w:rPr>
      <w:color w:val="0000FF"/>
      <w:u w:val="single"/>
    </w:rPr>
  </w:style>
  <w:style w:type="character" w:styleId="Strong">
    <w:name w:val="Strong"/>
    <w:basedOn w:val="DefaultParagraphFont"/>
    <w:uiPriority w:val="22"/>
    <w:qFormat/>
    <w:rsid w:val="00A96869"/>
    <w:rPr>
      <w:b/>
      <w:bCs/>
    </w:rPr>
  </w:style>
  <w:style w:type="character" w:customStyle="1" w:styleId="toc-title">
    <w:name w:val="toc-title"/>
    <w:basedOn w:val="DefaultParagraphFont"/>
    <w:rsid w:val="00A96869"/>
  </w:style>
  <w:style w:type="character" w:customStyle="1" w:styleId="toc-show">
    <w:name w:val="toc-show"/>
    <w:basedOn w:val="DefaultParagraphFont"/>
    <w:rsid w:val="00A96869"/>
  </w:style>
  <w:style w:type="character" w:customStyle="1" w:styleId="toctext">
    <w:name w:val="toctext"/>
    <w:basedOn w:val="DefaultParagraphFont"/>
    <w:rsid w:val="00A96869"/>
  </w:style>
  <w:style w:type="paragraph" w:styleId="NormalWeb">
    <w:name w:val="Normal (Web)"/>
    <w:basedOn w:val="Normal"/>
    <w:uiPriority w:val="99"/>
    <w:semiHidden/>
    <w:unhideWhenUsed/>
    <w:rsid w:val="00A9686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86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686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6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6869"/>
    <w:rPr>
      <w:rFonts w:eastAsia="Times New Roman" w:cs="Times New Roman"/>
      <w:b/>
      <w:bCs/>
      <w:sz w:val="36"/>
      <w:szCs w:val="36"/>
    </w:rPr>
  </w:style>
  <w:style w:type="character" w:styleId="Hyperlink">
    <w:name w:val="Hyperlink"/>
    <w:basedOn w:val="DefaultParagraphFont"/>
    <w:uiPriority w:val="99"/>
    <w:semiHidden/>
    <w:unhideWhenUsed/>
    <w:rsid w:val="00A96869"/>
    <w:rPr>
      <w:color w:val="0000FF"/>
      <w:u w:val="single"/>
    </w:rPr>
  </w:style>
  <w:style w:type="character" w:styleId="Strong">
    <w:name w:val="Strong"/>
    <w:basedOn w:val="DefaultParagraphFont"/>
    <w:uiPriority w:val="22"/>
    <w:qFormat/>
    <w:rsid w:val="00A96869"/>
    <w:rPr>
      <w:b/>
      <w:bCs/>
    </w:rPr>
  </w:style>
  <w:style w:type="character" w:customStyle="1" w:styleId="toc-title">
    <w:name w:val="toc-title"/>
    <w:basedOn w:val="DefaultParagraphFont"/>
    <w:rsid w:val="00A96869"/>
  </w:style>
  <w:style w:type="character" w:customStyle="1" w:styleId="toc-show">
    <w:name w:val="toc-show"/>
    <w:basedOn w:val="DefaultParagraphFont"/>
    <w:rsid w:val="00A96869"/>
  </w:style>
  <w:style w:type="character" w:customStyle="1" w:styleId="toctext">
    <w:name w:val="toctext"/>
    <w:basedOn w:val="DefaultParagraphFont"/>
    <w:rsid w:val="00A96869"/>
  </w:style>
  <w:style w:type="paragraph" w:styleId="NormalWeb">
    <w:name w:val="Normal (Web)"/>
    <w:basedOn w:val="Normal"/>
    <w:uiPriority w:val="99"/>
    <w:semiHidden/>
    <w:unhideWhenUsed/>
    <w:rsid w:val="00A9686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99185">
      <w:bodyDiv w:val="1"/>
      <w:marLeft w:val="0"/>
      <w:marRight w:val="0"/>
      <w:marTop w:val="0"/>
      <w:marBottom w:val="0"/>
      <w:divBdr>
        <w:top w:val="none" w:sz="0" w:space="0" w:color="auto"/>
        <w:left w:val="none" w:sz="0" w:space="0" w:color="auto"/>
        <w:bottom w:val="none" w:sz="0" w:space="0" w:color="auto"/>
        <w:right w:val="none" w:sz="0" w:space="0" w:color="auto"/>
      </w:divBdr>
      <w:divsChild>
        <w:div w:id="137264772">
          <w:marLeft w:val="0"/>
          <w:marRight w:val="0"/>
          <w:marTop w:val="0"/>
          <w:marBottom w:val="0"/>
          <w:divBdr>
            <w:top w:val="none" w:sz="0" w:space="0" w:color="auto"/>
            <w:left w:val="none" w:sz="0" w:space="0" w:color="auto"/>
            <w:bottom w:val="none" w:sz="0" w:space="0" w:color="auto"/>
            <w:right w:val="none" w:sz="0" w:space="0" w:color="auto"/>
          </w:divBdr>
          <w:divsChild>
            <w:div w:id="269555217">
              <w:marLeft w:val="0"/>
              <w:marRight w:val="240"/>
              <w:marTop w:val="0"/>
              <w:marBottom w:val="0"/>
              <w:divBdr>
                <w:top w:val="none" w:sz="0" w:space="0" w:color="auto"/>
                <w:left w:val="none" w:sz="0" w:space="0" w:color="auto"/>
                <w:bottom w:val="none" w:sz="0" w:space="0" w:color="auto"/>
                <w:right w:val="none" w:sz="0" w:space="0" w:color="auto"/>
              </w:divBdr>
              <w:divsChild>
                <w:div w:id="464200059">
                  <w:marLeft w:val="0"/>
                  <w:marRight w:val="0"/>
                  <w:marTop w:val="0"/>
                  <w:marBottom w:val="0"/>
                  <w:divBdr>
                    <w:top w:val="none" w:sz="0" w:space="0" w:color="auto"/>
                    <w:left w:val="none" w:sz="0" w:space="0" w:color="auto"/>
                    <w:bottom w:val="none" w:sz="0" w:space="0" w:color="auto"/>
                    <w:right w:val="none" w:sz="0" w:space="0" w:color="auto"/>
                  </w:divBdr>
                  <w:divsChild>
                    <w:div w:id="200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1705">
              <w:marLeft w:val="0"/>
              <w:marRight w:val="0"/>
              <w:marTop w:val="0"/>
              <w:marBottom w:val="0"/>
              <w:divBdr>
                <w:top w:val="none" w:sz="0" w:space="0" w:color="auto"/>
                <w:left w:val="none" w:sz="0" w:space="0" w:color="auto"/>
                <w:bottom w:val="none" w:sz="0" w:space="0" w:color="auto"/>
                <w:right w:val="none" w:sz="0" w:space="0" w:color="auto"/>
              </w:divBdr>
              <w:divsChild>
                <w:div w:id="1728797600">
                  <w:marLeft w:val="0"/>
                  <w:marRight w:val="0"/>
                  <w:marTop w:val="0"/>
                  <w:marBottom w:val="0"/>
                  <w:divBdr>
                    <w:top w:val="none" w:sz="0" w:space="0" w:color="auto"/>
                    <w:left w:val="none" w:sz="0" w:space="0" w:color="auto"/>
                    <w:bottom w:val="none" w:sz="0" w:space="0" w:color="auto"/>
                    <w:right w:val="none" w:sz="0" w:space="0" w:color="auto"/>
                  </w:divBdr>
                  <w:divsChild>
                    <w:div w:id="3494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8828">
          <w:marLeft w:val="0"/>
          <w:marRight w:val="0"/>
          <w:marTop w:val="0"/>
          <w:marBottom w:val="240"/>
          <w:divBdr>
            <w:top w:val="none" w:sz="0" w:space="0" w:color="auto"/>
            <w:left w:val="none" w:sz="0" w:space="0" w:color="auto"/>
            <w:bottom w:val="none" w:sz="0" w:space="0" w:color="auto"/>
            <w:right w:val="none" w:sz="0" w:space="0" w:color="auto"/>
          </w:divBdr>
          <w:divsChild>
            <w:div w:id="862473917">
              <w:marLeft w:val="0"/>
              <w:marRight w:val="0"/>
              <w:marTop w:val="0"/>
              <w:marBottom w:val="0"/>
              <w:divBdr>
                <w:top w:val="none" w:sz="0" w:space="0" w:color="auto"/>
                <w:left w:val="none" w:sz="0" w:space="0" w:color="auto"/>
                <w:bottom w:val="none" w:sz="0" w:space="0" w:color="auto"/>
                <w:right w:val="none" w:sz="0" w:space="0" w:color="auto"/>
              </w:divBdr>
            </w:div>
            <w:div w:id="1194423588">
              <w:marLeft w:val="0"/>
              <w:marRight w:val="0"/>
              <w:marTop w:val="240"/>
              <w:marBottom w:val="240"/>
              <w:divBdr>
                <w:top w:val="single" w:sz="6" w:space="9" w:color="E0E0E0"/>
                <w:left w:val="single" w:sz="6" w:space="12" w:color="E0E0E0"/>
                <w:bottom w:val="single" w:sz="6" w:space="9" w:color="E0E0E0"/>
                <w:right w:val="single" w:sz="6" w:space="12" w:color="E0E0E0"/>
              </w:divBdr>
              <w:divsChild>
                <w:div w:id="999775414">
                  <w:marLeft w:val="0"/>
                  <w:marRight w:val="0"/>
                  <w:marTop w:val="0"/>
                  <w:marBottom w:val="0"/>
                  <w:divBdr>
                    <w:top w:val="none" w:sz="0" w:space="0" w:color="auto"/>
                    <w:left w:val="none" w:sz="0" w:space="0" w:color="auto"/>
                    <w:bottom w:val="none" w:sz="0" w:space="0" w:color="auto"/>
                    <w:right w:val="none" w:sz="0" w:space="0" w:color="auto"/>
                  </w:divBdr>
                </w:div>
              </w:divsChild>
            </w:div>
            <w:div w:id="79446806">
              <w:marLeft w:val="0"/>
              <w:marRight w:val="0"/>
              <w:marTop w:val="0"/>
              <w:marBottom w:val="0"/>
              <w:divBdr>
                <w:top w:val="none" w:sz="0" w:space="0" w:color="auto"/>
                <w:left w:val="none" w:sz="0" w:space="0" w:color="auto"/>
                <w:bottom w:val="none" w:sz="0" w:space="0" w:color="auto"/>
                <w:right w:val="none" w:sz="0" w:space="0" w:color="auto"/>
              </w:divBdr>
              <w:divsChild>
                <w:div w:id="4471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luat-nha-o-cua-quoc-hoi-so-27-2023-qh15-284800-d1.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luatvietnam.vn/dat-dai/luat-kinh-doanh-bat-dong-san-cua-quoc-hoi-so-29-2023-qh15-284798-d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24-296638-d1.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52BF5-7A5E-4DAC-9BCE-DE49398B5F90}"/>
</file>

<file path=customXml/itemProps2.xml><?xml version="1.0" encoding="utf-8"?>
<ds:datastoreItem xmlns:ds="http://schemas.openxmlformats.org/officeDocument/2006/customXml" ds:itemID="{BAA54FDE-0108-4EA7-9F65-E2443F1D0C7B}"/>
</file>

<file path=customXml/itemProps3.xml><?xml version="1.0" encoding="utf-8"?>
<ds:datastoreItem xmlns:ds="http://schemas.openxmlformats.org/officeDocument/2006/customXml" ds:itemID="{6EE1C202-53F7-48F3-9DE0-7585BF870265}"/>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2024-12-13T02:53:00Z</dcterms:created>
  <dcterms:modified xsi:type="dcterms:W3CDTF">2024-12-13T02:54:00Z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